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14.02.2019, оставленным без изменения постановлением Восемнадцатого арбитражного апелляционного суда от 16.05.2019 и постановлением Арбитражного суда Уральского округа от 09.10.2019, с общества в пользу фирмы взыскано 15 118 руб. 36 коп. пеней, 42 691 руб. 08 коп. ущерба, в удовлетворении остальной части исковых требований отказано. В кассационной жалобе, поданной в Верховный Суд Российской Федерации, фирма, ссылаясь на нарушение судами норм материального и процессуального права, просит отменить указанные судебные акты и принять новый судебный акт об удовлетворении заявленных требований в полном объеме.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фирмы мотивированы ненадлежащим исполнением обществом (арендатором) обязательств по договору от 22.07.2016 № 27.2015.м2 предоставления павильона с торговым залом (далее – договор).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450 , 450.1 , 606 , 611 , 614 , 622 , 655 Гражданского кодекса Российской Федерации, установив, что после прекращения договора (31.01.2018) помещение поступило во владение истца и ответчиком не использовалось, пришли к выводу об отсутствии оснований для взыскания с общества задолженности, с чем впоследствии согласился суд округа. Доводы кассационной жалобы были предметом их рассмотрения и получили соответствующую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по существу сводятся к несогласию заявителя с оценкой доказательств, данной судами, и установленными фактическими обстоятельствами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«Фирма Спектрум»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"Фирма Спектрум" (подробнее) Ответчики: ООО "Престиж"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