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восстановления.Рассмотрев ходатайство, оценив изложенные в нем доводы, суд считает его подлежащим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14» удовлетворить. Срок подачи кассационной жалобы на постановление Тринадцатого арбитражного апелляционного суда от 22.05.2019 и постановление Арбитражного суда Северо-Западного округа от 08.10.2019 по делу № А56-140340/2018 восстановить.Судья Верховного Суда Российской Федерации Н.С. Чучунова Суд: Верховный Суд РФ (подробнее) Истцы: ООО "ТехГлавСтрой" (подробнее) Ответчики: ФГУП "ГЛАВНОЕ ВОЕННО-СТРОИТЕЛЬНОЕ УПРАВЛЕНИЕ №14" (подробнее) Судьи дела: Чучунова Н.С. (судья) (подробнее) Последние документы по делу: Определение от 10 февраля 2020 г. по делу № А56-140340/2018 Определение от 11 декабря 2019 г. по делу № А56-140340/2018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