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24.05.2019, оставленным без изменения постановлением Десятого арбитражного апелляционного суда от 09.07.2019, первоначальные исковые требования удовлетворены, с предприятия в пользу общества взыскано 40 211 405 руб. 74 коп. задолженности, 15 521 602 руб. 60 коп. неустойки, 2 964 076 руб. 35 коп. процентов за пользование чужими денежными средствами; в удовлетворении встречных исковых требований отказано. Постановлением Арбитражного суда Московского округа от 09.10.2019 решение суда первой инстанции и постановление суда апелляционной инстанции отменены в части взыскания с предприятия 15 521 602 руб. 60 коп. неустойки, дело в этой части направлено на новое рассмотрение в Арбитражный суд Московской области; в остальной части судебные акты оставлены без изменения. В кассационной жалобе, поданной в Верховный Суд Российской Федерации, предприятие просит отменить указанные судебные акты как принятые с нарушением норм материального и процессуального права, выражая несогласие с выводами судов в части удовлетворения первоначальных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общество (проектировщик), обращаясь в арбитражный суд с иском по настоящему делу, сослалось на ненадлежащее исполнение предприятием (генеральным проектировщиком) обязательств по оплате работ, выполненных проектировщиком в рамках от 27.11.2015 № 05-15/67. Встречный иск мотивирован тем, что общество не выполнило работы на сумму перечисленного предприятием аванса по договору, который был расторгнут последним в одностороннем порядке.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720 , 753 , 758 , 762 , 1102 Гражданского кодекса Российской Федерации, установив, что до расторжения договора общество выполнило работы и передало их результат предприятию, которое мотивированного отказа от приемки работ не заявило, доказательств их полной оплаты не представило, пришли к выводу о наличии у предприятия задолженности в заявленном обществом размере и отсутствии на стороне последнего неосновательного обогащения. С указанными выводами впоследствии согласился суд округа. Доводы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унитарного предприятия «Авиакомплект»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"УРБАН КОНСАЛТИНГ" (подробнее) Ответчики: ФГУП "Авиакомплект"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