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15.04.2019, оставленным без изменения постановлением Девятого арбитражного апелляционного суда от 28.06.2019 и постановлением Арбитражного суда Московского округа от 11.10.2019, в удовлетворении иска отказано. В кассационной жалобе институт просит об отмене указанных судебных актов, ссылаясь на фактическое выполнение работ и отсутствие у государственного заказчика задолженности перед обществом. В соответствии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выполненные институтом работы являются составной частью государственного контракта от 06.06.2014 № 141618734543101048001146/14000011, согласованное в котором условие для их оплаты не наступило, поэтому отказали в иске в соответствии с условиями обязательства. Приведенные в рассматриваемой жалобе доводы обсуждены судами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«Научно-исследовательский институт информационных технологий»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"Научно-исследовательский институт информационных технологий" (подробнее) Ответчики: АО "РТИ"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