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обратилась в суд с заявлением о привлечении ФИО3 и ФИО1 к субсидиарной ответственности по обязательствам должника в размере 7 694 853 рублей 49 копеек. Определением Арбитражного суда Челябинской области от 26.04.2019, оставленным без изменения постановлениями Восемнадцатого арбитражного апелляционного суда от 12.08.2019 и Арбитражного суда Уральского округа от 25.10.2019, ФИО1 и ФИО3 привлечены к субсидиарной ответственности по обязательствам должника в общей сумме 7 694 853 рублей 49 копеек в пределах 100% и 10 % суммы реестра требований кредиторов и текущей задолженности; с ФИО1 и ФИО3 солидарно в пользу должника взыскано 769 485 рублей 35 копеек, единолично с ФИО1 – 6 925 368 рублей 14 копеек. В кассационной жалобе, поданной в Верховный Суд Российской Федерации, заявитель просит отменить постановление суда округа и принять по делу новый судебный акт, которым определить иной размер его субсидиарной ответственности.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Оставляя принятые по спору судебные акты в обжалуемой части без изменения, окружной суд, руководствуясь абзацами 10, 11 пункта 4 статьи 10 Федерального закона от 26.10.2002 № 127-ФЗ «О несостоятельности (банкротстве)», пунктом 16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согласился с приведёнными в них выводами о том, что иной размер субсидиарной ответственности заявителя последним не подтверждён, а наличие оснований для снижения указанного размера с учётом степени вины каждого из контролирующих должника лиц, в том числе номинального характера статуса второго участника, установлено не было.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Приведённые в нём выводы соответствуют нормам права, оснований для переоценки этих выводов не имеется. Несогласие заявителя с выводами суда округа, основанными на установленных фактических обстоятельствах дела,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"НПК "Волвек Плюс" (подробнее) СОФРОНОВ СЕРГЕЙ НИКОЛАЕВИЧ (подробнее) Ответчики: ООО "Волвек Снаб" (подробнее) Иные лица: АССОЦИАЦИЯ ЕВРОСИБИРСКАЯ САМОРЕГУЛИРУЕМАЯ ОРГАНИЗАЦИЯ АРБИТРАЖНЫХ УПРАВЛЯЮЩИХ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