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 новом рассмотрении определением суда первой инстанции от 08.02.2019 в удовлетворении заявленных требований отказано. Постановлением суда апелляционной инстанции от 24.07.2019, оставленным без изменения постановлением суда округа от 17.10.2019, названное определение отменено, заявление удовлетворено. 2 В кассационных жалобах, поданных в Верховный Суд Российской Федерации, заявители просят обжалуемые судебные акты отменить.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судебных актов и доводов кассационных жалоб не установлено. Разрешая спор и отменяя определение от 08.02.2019, суд апелляционной инстанции руководствовался положениями статей 10 и 168 Гражданского кодекса Российской Федерации, статьи 213.32 Федерального закона от 26.10.2002 № 127-ФЗ «О несостоятельности (банкротстве)» и исходил из того, что оспариваемые сделки заключены со злоупотреблением правом, поскольку в результате их совершения должником безвозмездно в пользу заинтересованного лица отчуждено имущество во вред кредиторам. При таких условиях суд апелляционный суд удовлетворил заявленные требования, с чем впоследствии согласился суд округа. Доводы заявителей кассационных жалоб выводы судов не опровергают и не свидетельствуют о наличии оснований для передачи жалобы на рассмотрение в судебном заседании. При этом если заявители полагают, что присужденное по реституции имущество у ответчика отсутствует, они не лишены возможности обратиться с заявлением об изменении способа исполнения судебного акта по правилам статьи 324 Арбитражного процессуального кодекса Российской Федерации.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И.А. Букина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