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23.01.2019, оставленным без изменения постановлением Девятого арбитражного апелляционного суда от 23.08.2019 и постановлением Арбитражного суда Московского округа от 06.12.2019, в удовлетворении первоначального иска отказано, встречный иск удовлетворен. В кассационной жалобе общество «УСТ-офисная недвижимость» просит о пересмотре судебных актов как незаконных вследствие отсутствия мотивов для оплаты услуг в отсутствие договора и отказов суда первой инстанции в назначении экспертизы для установления объема работ и суда апелляционной инстанции в приобщении дополнительных документов.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дополнительного соглашения № 1 к договору от 15.01.2015 в качестве основания для отказа в признании его мнимой сделкой. Установленное судами оказание услуг влечет их оплату в силу 779, 781 Гражданского кодекса Российской Федерации. Вопросы доказывания, в частности, необходимости прибегания к услугам специалистов, и оценки доказательств, на которых основаны доводы жалобы, не составляют оснований для кассационного пересмотра судебных актов. Наличие условий, при которых суд апелляционной инстанции приобщает дополнительные доказательства (часть 2 статьи 268 Арбитражного процессуального кодекса Российской Федерации), заявитель не обосновал.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«УСТ-офисная недвижимость»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