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ФИО2 обратился в суд заявлениями, объединёнными в одно производство для совместного рассмотрения, в которых просил разрешить возникшие между ним и конкурсным управляющим ФИО1 разногласия о размере выплаты залоговому кредитору при реализации залогового имущества, признать незаконными действия (бездействие) конкурсного управляющего ФИО1, выразившиеся в нарушении порядка выплаты при реализации залогового имущества; признать незаконными действия (бездействие) конкурсного управляющего, выразившиеся в нарушении порядка реализации имущества, а также уклонения от расторжения договора купли-продажи залогового имущества. Определением Арбитражного суда Мурманской области от 18.01.2019, оставленным без изменения постановлениями Тринадцатого арбитражного апелляционного суда от 08.07.2019 и Арбитражного суда Северо-Западного округа от 03.10.2019, признаны незаконными действия конкурсного управляющего ФИО1, выразившиеся в нарушении установленного статьей 138 Федерального закона от 26.10.2002 № 127-ФЗ «О несостоятельности (банкротстве)» (далее – Закон о банкротстве) порядка расчётов при реализации имущества должника, являющегося предметом залога. Разрешены разногласия, возникшие между конкурсным кредитором Жирновым И.О. и конкурсным управляющим Темчурой О.А. относительно размера денежных средств, полученных по договору купли-продажи от 20.07.2018 и подлежащих перечислению Жирнову И.О., путём определения размера указанной суммы – 2 190 776 рублей 40 копеек.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 60 , 138 Закона о банкротстве, пунктом 18 Обзора судебной практики Верховного Суда Российской Федерации № 1(2017), утвержденного Президиумом Верховного Суда Российской Федерации 16.02.2017, абзацами шестым и восьмым пункта 20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правильно распределив бремя доказывания и исходя из фактических обстоятельств спора, пришли к обоснованным выводам о несоответствии оспариваемых действий заявителя требованиям законодательства о банкротстве и нарушения ими прав кредитора, при этом верно определив размер причитающихся последнему денежных средств, чьи требования обеспечены залогом имущества в целом и вне зависимости от изменения учётной оценочной стоимости предмета залога.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«Управляющая компания «Новый город»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КПК "Первое Мурманское общество взаимного кредита" (подробнее) ООО "Корунд-Сервис" (подробнее) ООО " МурманМедСервис " (подробнее) ООО "МурманМедСервис" (подробнее) ООО ПКФ "Флотснабсервис" (подробнее) ООО ПФК " Флотнабсервис " (подробнее) ООО " Центр медицинских технологий " (подробнее) ООО "Центр медицинских технологий Мурманск" (подробнее) Ответчики: ООО Управляющая компания "НОВЫЙ ГОРОД" (подробнее) Иные лица: ИФНС России по городу Мурманску (подробнее) Некоммерческое партнерство "Саморегулируемая организация арбитражных управляющих "Меркурий" (подробнее) ОСП Первомайского округа (подробнее) Управление специальных программ аппарата Правительства Мурманской области (подробнее) Управление Федеральной налоговой службы по Мурманской области (подробнее) Управление ФСБ России по Мурманской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