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22.02.2019, оставленным без изменения постановлением Девятого арбитражного апелляционного суда от 20.06.2019, иск удовлетворен. Арбитражный суд Московского округа постановлением от 07.10.2019 отменил решение от 22.02.2019 и постановление Девятого арбитражного апелляционного суда от 20.06.2019 и отказал в удовлетворении иска. В кассационной жалобе общество «Страховая компания «Арсеналъ» просит об отмене постановления суда округа, ссылаясь на нарушение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 в соответствующей периоду совершения контракта редакции Страховая выплата в связи с возникшим в рамках контракта от 12.09.2016 № 31/29ГК страховым случаем произведена обществом «Страховая компания «Арсеналъ» в соответствии с названным Законом и контрактом и не может быть переложена на другое лицо.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