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06.02.2019, оставленным без изменения постановлением Первого арбитражного апелляционного суда от 04.07.2019, исковые требования удовлетворены в заявленном объеме. Арбитражный суд Волго-Вятского округа постановлением от 29.10.2019 решение от 06.02.2019 и постановление Первого арбитражного апелляционного суда от 04.07.2019 оставил без изменения. В кассационной жалобе центр просит об отмене судебных актов, ссылаясь на неправильную оценку доказательств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расторгли заключенный сторонами договор консалтингового обслуживания от 16.11.2017 № 1103/17 k-rus вследствие признания отсутствующими доказательств оказания центром согласованных услуг и оснований для удержания полученного авансового платежа.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«Евроазиатский консалтинговый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Научно-производственное предприятие "Молот" (подробнее) Ответчики: ООО "Евроазиатский консалтинговый центр"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