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«ВВВ МИКС» обратилось в суд с заявлением о включении в реестр требований кредиторов должника его требования в размере 20 095 161 рублей 31 копейки. Определением Арбитражного суда Свердловской области от 30.03.2018, оставленным без изменения постановлениями Семнадцатого арбитражного апелляционного суда от 19.06.2018 и Арбитражного суда Уральского округа от 25.09.2018, в удовлетворении заявления отказано. Общество «ВВВ МИКС» обратилось в суд с заявлением о пересмотре вышеуказанного определения суда первой инстанции от 31.07.2019 по новым обстоятельствам. Определением Арбитражного суда Свердловской области от 02.09.2019, оставленным без изменения постановлениями Семнадцатого арбитражного апелляционного суда от 16.10.2019 и Арбитражного суда Уральского округа от 03.12.2019, производство по заявлению прекращено; в удовлетворении ходатайства конкурсного управляющего об оставлении заявления без рассмотрения отказано. 2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заявлению, суд первой инстанции, руководствуясь положениями статей 148, 309, 311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 из того, что общество «ВВВ МИКС» ранее обращалось с аналогичным заявлением, ссылаясь на те же обстоятельства, не являющиеся по своей сути вновь открывшимися и существенными, что свидетельствует о тождественности предмета и основания заявлений. Суды апелляционной инстанции и округа согласились с данными выводами, отметив, что ошибочные суждения суда первой инстанции о пропуске заявителем срока на обращение в суд с соответствующим заявлением не привели в принятию неверного судебного акта по существу спора.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«ВВВ МИКС»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