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17.07.2019, оставленным без изменения постановлением Тринадцатого арбитражного апелляционного суда от 14.10.2019, с предприятия в пользу учреждения взыскано 8152 руб. 74 коп. пеней, в удовлетворении остальной части иска отказано. В кассационной жалобе, поданной в Верховный Суд Российской Федерации, учреждение просит отменить указанные судебные как принятые с нарушением норм материального и процессуального права, выражая несогласие с выводами судов в части отказа в удовлетворении требования о взыскании штрафа.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Гражданского кодекса Российской Федерации,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первой и апелляционной инстанций пришли к выводу о том, что за допущенную предприятием просрочку поставки товара в рамках государственного контракта от 19.12.2018 № 1818320800222008564000001/22 подлежат взысканию пени. Оснований для взыскания штрафа судами не установлено. Доводы кассационной жалобы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компетенцию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казенного учреждения «База материально-технического и военного снабжения Главного управления Федеральной службы исполнения наказаний по Пермскому краю»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ФЕДЕРАЛЬНОЕ КАЗЕННОЕ УЧРЕЖДЕНИЕ "БАЗА МАТЕРИАЛЬНО-ТЕХНИЧЕСКОГО И ВОЕННОГО СНАБЖЕНИЯ ГЛАВНОГО УПРАВЛЕНИЯ ФЕДЕРАЛЬНОЙ СЛУЖБЫ ИСПОЛНЕНИЯ НАКАЗАНИЙ ПО ПЕРМСКОМУ КРАЮ" (подробнее) Ответчики: ФГУП "АРХАНГЕЛЬСКОЕ" ФЕДЕРАЛЬНОЙ СЛУЖБЫ ИСПОЛНЕНИЯ НАКАЗАНИЙ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