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Томской области от 13.03.2019, оставленным без изменения постановлением Седьмого арбитражного апелляционного суда от 11.06.2019 и постановлением Арбитражного суда Западно-Сибирского округа от 09.10.2019, иск удовлетворен частично. В кассационной жалобе общество просит об отмене судебных актов, ссылаясь на отсутствие основания для взыскания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муниципального контракта от 10.05.2017 № Ф.2017.151924 и руководствуясь статьями 330 , 406 , 702 , 779 Гражданского кодекса Российской Федерации, статьей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установили наличие основания для взыскания неустойки на основании пунктов 7.4 – 7.6 контракта за нарушение срока оказания услуг. Приведенные в рассматриваемой жалобе доводы повторяют доводы, заявленные судам, получили правовую оценку и не образуют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«Агентство дорожной информации РАДАР»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"Город Томск" в лице департамента дорожной деятельности, благоустройства и транспорта администрации Города Томска (подробнее) Ответчики: ООО "АГЕНТСТВО ДОРОЖНОЙ ИНФОРМАЦИИ РАДАР" (подробнее) Судьи дела: Ксенофонтова Н.А.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