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23.01.2019, оставленным без изменения постановлением Девятого арбитражного апелляционного суда от 23.08.2019, в удовлетворении первоначального иска отказано, встречный иск удовлетворен. Определением Арбитражного суда Московского округа от 08.11.2019, оставленным без изменения определением того же суда от 02.12.2019, в удовлетворении ходатайства общества «УСТ-офисная недвижимость» о приостановлении исполнения обжалуемых решения и постановления апелляционной инстанции отказано. В кассационной жалобе общество «УСТ-офисная недвижимость» просит о пересмотре определений окружного суда как незаконных вследствие неосновательного отказа в приостановлении исполнения судебных актов при представлении банковской гарантии возмещения возможных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283 Арбитражного процессуального кодекса Российской Федерации встречное обеспечение влечет приостановление исполнения судебных актов в случае усмотрения судом обстоятельств для его возможной реализации. Таких обстоятельств окружной суд не установил, на что указал в обжалуемых судебных актах.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«УСТ-офисная недвижимость»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"УСТ - ОФИСНАЯ НЕДВИЖИМОСТЬ" (подробнее) Ответчики: ООО "Первая линия"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