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22.03.2019, оставленным без изменения постановлением Одиннадцатого арбитражного апелляционного суда от 21.06.2019 и постановлением Арбитражного суда Поволжского округа от 07.10.2019, в удовлетворении иска отказано. В кассационной жалобе центр просит об отмене указанных судебных актов как незаконных.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договоров на поставку продукции от 01.08.2012 № ЭО-2/2012, от 28.08.2013 № ЭО-23/2013, от 03.07.2014 № ЭО-31/2014 цена на поставляемую продукцию включает налог на добавленную стоимость. В такой ситуации у спорной суммы отсутствуют признаки неосновательно обогащения (статья 1102 Гражданского кодекса Российской Федерации) и она правомерно не признана таковым судами, поскольку получена на основании договоров.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«Ракетно-космический центр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"Ракетно-космический центр "Прогресс" (подробнее) Ответчики: ООО "СПЕЦИАЛЬНОЕ КОНСТРУКТОРСКО-ТЕХНОЛОГИЧЕСКОЕ БЮРО "ПЛАСТИК" (подробнее) Иные лица: Межрегиональная инспекция федеральной налоговой службы по крупнейшим налогоплательщикам №4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