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30.05.2019 исковые требования удовлетворены в заявленном размере. Третий арбитражный апелляционный суд определением от 19.08.2019 возвратил апелляционную жалобу ответчика в связи с пропуском срока на ее подачу и отказом в удовлетворении ходатайства о восстановлении пропущенного срока. Арбитражный суд Восточно-Сибирского округа постановлением от 16.10.2019 отменил решение от 30.05.2019 и направил дело на новое рассмотрение в Арбитражный суд Красноярского края в связи с неисследованием имеющих значение для разрешения дела обстоятельств. В кассационной жалобе общество просит об отмене постановления окружного суда, ссылаясь на исследование доказательств судом первой инстанции и нарушение пределов рассмотрения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Отмена судебного акта нижестоящей инстанции в связи с неустановлением необходимых для разрешения дела обстоятельств находится в пределах полномочий, предоставленных суду округа статьями 286 , 287 Арбитражного процессуального кодекса Российской Федерации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страховому акционерному обществу «Надежда»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Страховое "Надежда" (подробнее) Иные лица: Управление Федеральной службы государственной регистрации, кадастра и картографии по Красноярскому краю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