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28.05.2019, оставленным без изменения постановлением Седьмого арбитражного апелляционного суда от 24.07.2019 и постановлением Арбитражного суда Западно-Сибирского округа от 24.10.2019, иск удовлетворен. В кассационной жалобе ФССП России просит о пересмотре судебных актов, ссылаясь на неподведомственность спора арбитражному суду и отсутствие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 о подведомственности данного дела арбитражному суду правомерно разрешен судами исходя из субъектного состава и характера правоотношений. Взыскание по правилам статей 15 , 1069 Гражданского кодекса Российской Федерации расходов на услуги представителя, понесенных в рамках прекращенного дела об административном правонарушении, предусмотрено официальным судебным толкованием указанных норм применительно к издержкам в административном судопроизводстве. Руководствуясь разъяснениями, данными в постановлении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и статьями 15 , 1069 Гражданского кодекса Российской Федерации, суды установили наличие у общества права на возмещение расходов на оплату юридических услуг в связи с рассмотрением дела об административном правонарушении, производство по которому прекращено решением Рубцовского городского суда Алтайского края, в установленном размере. Суды проверили соответствие заявленных расходов критериям разумности и обоснованности, определенным законом и судебной практикой, и установили разумную и обоснованную сумму затрат общества на ведение дела во взысканном размере.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"Управляющая компания "Светлова" (подробнее) Ответчики: в лице ФССП России (подробнее) УФССП по Алтайскому краю (подробнее) УФССП России по АК (подробнее) Судьи дела: Ксенофонтова Н.А.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