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19.03.2019, оставленным без изменения постановлением Девятого арбитражного апелляционного суда от 02.07.2019 и постановлением Арбитражного суда Московского округа от 14.10.2019, с компании в пользу общества взыскано 1 234 422 руб. штрафа, 1 011 050 руб. 40 коп. пеней, в удовлетворении остальной части исковых требований отказано. В кассационной жалобе и дополнении к ней, поданных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 кодекса Российской Федерации представленные в материалы дела доказательства, руководствуясь статьями 309, 310, 330 Гражданского кодекса Российской Федерации, разъяснениями, приведенными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признав доказанным факт ненадлежащего исполнения ответчиком обязательств по договору, пришли к выводу о наличии у истца оснований для начисления неустойки и штрафа. При этом, установив явную несоразмерность предъявленных к взысканию сумм последствиям нарушения обязательства, по ходатайству ответчика снизили их размер по правилам статьи 333 Гражданского кодекса Российской Федерации и удовлетворили исковые требования частично. С указанными выводами впоследствии согласился суд округа. Приведенные обществом в жалобе и дополнении к ней доводы со ссылкой на отсутствие оснований для применения судами положений статьи 333 Гражданского кодекса Российской Федерации по существу свидетельствуют о его несогласии с оценкой доказательств по делу, при этом существенных нарушений норм материального и процессуального права, повлиявших на исход дела, указанные в жалобе доводы не подтверждают, в связи с чем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«Русский проект-Регион»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