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«Ракурс» обратилось в Арбитражный суд Саратовской области с иском о взыскании с федерального бюджетного учреждения Центр реабилитации фонда социального страхования Российской Федерации «Волга» 44 338 рублей 14 копеек незаконно удержанного штрафа по государственному контракту от 09.04.2018 на поставку массажных столов. Решением Арбитражного суда Саратовской области от 15.05.2019 в удовлетворении иска отказано. Постановлением Двенадцатого арбитражного апелляционного суда от 23.07.2019 решение суда первой инстанции оставлено без изменения. Арбитражный суд Поволжского округа постановлением от 26.11.2019 названные судебные акты оставил без изменения. Общество с ограниченной ответственностью «Ракурс» обратилось в Судебную коллегию по экономическим спорам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согласованные сторонами условия контракта, установив нарушение обществом обязательств по государственному контракту, руководствуясь статьями 329, 330, 506 Гражданского кодекса Российской Федерации, статьей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пришли к выводу о наличии оснований для удержания штрафа.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«Ракурс»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