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«Петролеум Технолоджи» обратилось в Арбитражный суд Ульяновской области с иском к обществу с ограниченной ответственностью «Стройэксперт» и федеральному государственному унитарному предприятию «Всероссийский научно- исследовательский институт расходометрии» об обязании ООО «Стройэксперт» передать в собственность ООО «Петролеум Технолоджи» многофазный расходомер DIP, полученный по договору поставки от 25.08.2014 № 173- ВН/СЭ/14, расторгнутому решением Арбитражного суда Ульяновской области от 19.05.2016 по делу А72-18041/2014. При неисполнении решения суда истец просил установить обязанность ООО «Стройэксперт» перечислять в пользу ООО «Петролеум Технолоджи» судебную неустойку в размере 10 000 рублей за каждый день просрочки, начиная с даты вступления решения суда в законную силу. Решением Арбитражного суда Ульяновской области от 16.04.2019 на ООО «Стройэксперт» возложена обязанность в десятидневный срок после 2 вступления решения суда в законную силу передать ООО «Петролеум Технолоджи» многофазный расходомер DIP, полученный по договору поставки от 25.08.2014 № 173-ВН/СЭ/14, который был расторгнут решением Арбитражного суда Ульяновской области от 19.05.2016 по делу № А72-18041/2014, и на случай неисполнения решения суда взыскано с ООО «Стройэксперт» в пользу ООО «Петролеум Технолоджи» 10 000 рублей судебной неустойки за каждый день просрочки, начиная с даты истечения десятидневного срока после вступления решения суда в законную силу; иск к ФГУП «Всероссийский научно-исследовательский институт расходометрии» оставлен без рассмотрения. Постановлением Одиннадцатого арбитражного апелляционного суда от 03.07.2019 решение суда первой инстанции оставлено без изменения. Арбитражный суд Поволжского округа постановлением от 31.10.2019 указанные судебные акты оставил без изменения. Общество с ограниченной ответственностью «Стройэксперт»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суды пришли к выводу о том, что возврат имущества по сделке должна произвести сторона сделки, получившая по договору соответствующее исполнение и передавшее товар предприятию, где он фактически находится на хранении. Определяя размер присужденных денежных средств на случай неисполнения судебного акта, суды руководствовались статьей 308.3 Гражданского кодекса Российской Федерации, пунктом 28 постановления 3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и пришли к выводу о том, что заявленный к взысканию размер неустойки соответствует принципам справедливости и соразмерности, не установив оснований для его уменьшения.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в связи с оставлением судами без рассмотрения иска к ФГУП «Всероссийский научно-исследовательский институт расходометрии» в связи несоблюдением досудебного порядка разрешения спора, предусмотренного частью 5 статьи 4 АПК РФ,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«Стройэксперт»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