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на судебные акты, принятые в порядке упрощенного производства, подана в Верховный Суд Российской Федерации 04.02.2020 с ходатайством о восстановлении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восстановлению не подлежит. 2 Учитывая подачу документов в электронном виде, жалоба не рассматривается по существу, государственная пошлина принимаемым определением не возвращается.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«Аттракцион-Экспо» в восстановлении срока подачи кассационной жалобы на решение Арбитражного суда города Москвы от 26.11.2018 по делу № А40-206805/2018 и постановление Девятого арбитражного апелляционного суда от 07.03.2019 по тому же делу. Кассационную жалобу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