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10.12.2019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обществом причины пропуска процессуального срока, учитывая своевременное направление первоначальной жалобы (21.11.2019) и основания ее возврата,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публичного акционерного общества «Межрегиональная распределительная сетевая компания Северо-Запада»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Судьи дела: Першутов А.Г. (судья) (подробнее) Последние документы по делу: Определение от 7 февраля 2020 г. по делу № А26-1253/2019 Определение от 16 декабря 2019 г. по делу № А26-1253/2019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