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«Финансгруп» (далее – общество) обратилось в суд с заявлением о включении в реестр требований кредиторов должника 98 954 260 рублей 92 копеек, в том числе 94 051 677 рублей 07 копеек основного долга, 4 702 583 рублей 85 копеек неустойки, 200 000 рублей расходов по уплате государственной пошлины. Определением Арбитражного суда Архангельской области от 30.01.2019 в удовлетворении заявления отказано. Постановлением Четырнадцатого арбитражного апелляционного суда от 15.04.2019, оставленным без изменения постановлением Арбитражного суда Северо-Западного округа от 22.08.2019, вышеуказанное определение отменено; требование общество на сумму основного долга и неустойки признано обоснованным и включено в третью очередь реестра. Производство по требованию в части расходов по уплате государственной полшины прекращено.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 или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Отменяя принятое по делу определение и разрешая спор, апелляционный суд руководствовался положениями статей 16, 69 Арбитражного процессуального кодекса Российской Федерации, статьями 2, 28, 100, 137, 142 Федерального закона № 127-ФЗ от 26.10.2002 «О несостоятельности (банкротстве)» (далее – Закон о банкротстве),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 из обоснованности требования общества, основанного на вступившем в законную силу судебном акте арбитражного суда. Суд округа поддержал выводы суда апелляционной инстанции, указав, что при проверке обоснованности требования к должнику кредиторы, уполномоченный орган и конкурсный управляющий не заявили возражения относительно предмета и размера обязательства, не были лишены возможности обжаловать судебный акт, на котором основано требование общества, по правилам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при наличии сомнений в его обоснованности; соответствующий договор цессии и дополнительное соглашение к нему об уступке обществу спорного требования, равно как и произведённое судом правопреемство в судебном порядке не оспорили.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 установил: отказать Управлению Федеральной налоговой службы по Архангельской области и Ненецкому автономному округу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