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обратился в Верховный Суд Российской Федерации с указанной кассационной жалобой, одновременно заявив ходатайство о восстановлении срока ее подачи. Согласно положениям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Рассмотрев ходатайство, оценив изложенные в нем доводы, судья находит его подлежащим удовлетворению. Руководствуясь статьями 117, 184, 291.2 Арбитражного процессуального кодекса Российской Федерации, суд 2</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Нарышкиной Александры Вадимовны удовлетворить. Срок подачи кассационной жалобы на постановление Арбитражного суда Московского округа от 28.10.2019 по делу № А40-247593/2018 Арбитражного суда города Москвы восстановить.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