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02.07.2019 исковые требования удовлетворены. Давыдов В.В. обратился в Семнадцатый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Семнадцатый арбитражный апелляционный суд определением от 13.08.2019 возвратил апелляционную жалобу Давыдова В.В.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Уральского округа от 11.10.2019 определение апелляционного суда оставлено без изменения. 2 В кассационной жалобе, поданной в Верховный Суд Российской Федерации, Давыдов В.В., ссылаясь на нарушение судами апелляционной инстанции и округа норм права, просит отменить определение от 13.08.2019 и постановление от 11.10.2019.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восстановлении пропущенного срока, суд апелляционной инстанции руководствовался статьями 8, 9, 259, 264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уважительных причин, объективно препятствующих своевременной подаче жалобы в установленный законом срок. С указанными выводами впоследствии согласился суд округа, мотивированно отклонив доводы заявителя.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Давыдова Владимира Витальевича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