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23.04.2019, оставленным без изменения постановлением Двадцатого арбитражного апелляционного суда от 08.07.2019 и постановлением Арбитражного суда Центрального округа от 28.10.2019,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решением, принятым по результатам выездной налоговой проверки, предпринимателю начислено 8 242 310 рублей налога на доходы физических лиц, 2 868 662 рубля 03 копейки пеней и 4 121 155 рублей штрафов по пункту 1 статьи 119, пункту 1 статьи 122 Налогового кодекса Российской Федерации (далее – Налоговый кодекс). Основанием для начисления налога, пеней и штрафов послужили выводы налогового органа о занижении предпринимателем налоговой базы в связи с неправомерным неотражением в составе доходов денежных средств, полученных от ООО «СтройЦентр», ООО «ТехноФорт», ООО «Компас», ООО «Капиталл» за оказание транспортных услуг, а также непредставлении налоговых деклараций по форме 3-НДФЛ. Рассматривая спор, суды, оценив представленные в материалы дела доказательства, руководствуясь положениями статей 23, 31, 208 - 210, 218 - 220, 228, 346.26 Налогового кодекса, статей 784, 785, 792 Гражданского кодекса Российской Федерации, Федеральным законом от 08.11.2007 № 259-ФЗ «Устав автомобильного транспорта и городского наземного электрического транспорта», Правилами перевозок грузов автомобильным транспортом, утвержденными постановлением Правительства Российской Федерации от 15.04.2011 № 272, постановлением Госкомстата России от 28.11.1997 № 78 «Об утверждении унифицированных форм первичной учетной документации по учету работы строительных машин, механизмов, работ в автомобильном транспорте», разъяснениями, изложенными в определениях Конституционного Суда Российской Федерации от 08.04.2004 № 169-О, от 04.11.2004 № 324-О и постановлениях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законности решения инспекции ввиду доказанности совокупности обстоятельств, свидетельствующих о направленности действий предпринимателя на получение необоснованной налоговой выгоды. Судебные инстанции исходили из создания предпринимателем с подконтрольными ему контрагентами формального документооборота, направленного на перечисление денежных средств в отсутствие реального осуществления деятельности по оказанию транспортных услуг, что позволило под видом применения специального налогового режима в виде единого налога 3 на вмененный доход получать денежные средства для последующего обналичивания в целях осуществления деятельности вне рамок правового регулирования. Вопреки доводам общества, суды указали на отсутствие нарушений процедуры рассмотрения материалов налоговой проверки, которые могли бы привести к отмене решения инспекции. Иные доводы, изложенные в кассационной жалобе, повторяют позицию предпринимателя по спору, не опровергают выводы судов и не подтверждают существенных нарушений норм материального права и норм процессуального права, повлиявших на исход дела. По существу доводы жалобы направлены на переоценку представленных в материалы дела доказательств и установление иных обстоятельств, что не может служить достаточным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Шкулеву Юрию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