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21.03.2019, оставленным без изменения постановлениями Девятого арбитражного апелляционного суда от 28.06.2019 и Арбитражного суда Московского округа от 31.10.2019,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поставку автомобильных шин для нужд филиала предприятия (заказчик), в связи с чем на него возложена обязанность разместить подписанный проект контракта на электронной площадке. Поскольку заявителем не исполнена обязанность по заключению контракта в установленные законом сроки,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контракта. По результатам рассмотрения представленных сведений антимонопольным органом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статьи 2 Гражданского кодекса Российской Федерации, статей 70, 83.2,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оспариваемого ненормативного правового акта управления действующему законодательству с учетом установленных обстоятельств по делу. При этом судебные инстанции исходили из недоказанности обстоятельств, которые помешали обществу выполнить свои обязательства, а также отсутствия доказательств того, что обществом предприняты все зависящие от него меры для заключения спорного контракта. Суды отметили, что обществом не была проявлена та степень заботливости и осмотрительности, которая от него требовалась для заключения контракта, в поведении общества имеются признаки недобросовестности, и включение сведений о нем в реестр недобросовестных поставщиков является необходимой мерой его ответственности. Доводы, изложенные в кассационной жалобе, направлены на переоценку 3 установленных по делу обстоятельств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