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25.04.2019, оставленным без изменения постановлением Семнадцатого арбитражного апелляционного суда от 23.07.2019 и постановлением Арбитражного суда Уральского округа от 25.10.2019,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исковых требований, суды руководствовались статьями 309 , 310 , 470 , 471 , 475 , 476 , 477 , 506 , 513 , 514 Гражданского кодекса Российской Федерации и исходили из недоказанности истцом факта поставки ответчиком товара ненадлежащего качества с существенными недостатками, не соответствующего условиям договора и техническим характеристиками.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заявителя о том, что суд первой инстанции необоснованно удовлетворил ходатайство ответчика о прекращении проведения экспертизы, а также не направил в адрес истца копию определения о возобновлении производства по делу, были предметом рассмотрения суда апелляционной инстанции и получили соответствующую правовую оценку. Иные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«РемБурСервис»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"РемБурСервис" (подробнее) Ответчики: ООО УРАЛЬСКИЙ МАШИННЫЙ ЗАВОД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