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заявителем судебным актом является постановление Суда по интеллектуальным правам от 26.11.2019. Жалоба подана в Верховный Суд Российской Федерации 31.01.2020, то есть по истечении двухмесячного процессуального срока, установленного статьей 291.2 Арбитражного процессуального кодекса Российской Федерации (далее – АПК РФ). В обоснование ходатайства заявитель указывает на то, что уже обращался с аналогичной кассационной жалобой в установленные законом сроки, обязанность по оплате государственной пошлины была исполнена должным образом, что подтверждается платежным поручением № 27 от 22.01.2020. Однако жалоба была возвращена без рассмотрения на основании пункта 1 части 1 статьи 291.5 АПК РФ по причине непредоставления в суд документа, подтверждающего уплату государственной пошлины. В соответствии с частью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2 сведений об обжалуемом судебном акте, по ходатайству указанного лица может быть восстановлен судьей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Согласно частям 1, 2 статьи 117 АПК РФ процессуальный срок подлежит восстановлению по ходатайству лица, участвующего в деле, если иное не предусмотрено настоящим Кодексом. Арбитражный суд восстанавливает пропущенный процессуальный срок, если признает причины пропуска уважительными и если не истекли предусмотренные настоящим Кодексом предельные допустимые сроки для восстановления. Суд признает, что изложенные в ходатайстве причины пропуска процессуального срока являются уважительными, в связи с чем ходатайство о восстановлении срока подлежит удовлетворению. На основании изложенного,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«Информационные технологии и консалтинг» о восстановлении пропущенного процессуального срока подачи кассационной жалобы. Восстановить обществу с ограниченной ответственностью «Информационные технологии и консалтинг» срок подачи кассационной жалобы на постановление Суда по интеллектуальным правам от 26.11.2019 по делу № А50-20477/2018. Судья Верховного Суда О.В. Киселева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