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привлечении бывших руководителей должника Миллермана Александра Самуиловича и Милованова Сергея Владимировича к субсидиарной ответственности по обязательствам должника. Определением Арбитражного суда города Москвы от 13.02.2019 заявление удовлетворено. Постановлением Девятого арбитражного апелляционного суда от 12.07.2019, оставленным без изменения постановлением Арбитражного суда Московского округа от 07.10.2019, вышеуказанное определение отменено в части. В удовлетворении заявления конкурсного управляющего должником о привлечении бывшего руководителя Миллермана А.С. к субсидиарной ответственности по обязательствам должника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отказа в удовлетворении требований о привлечении Миллермана А.С. к субсидиарной ответственности и принять по делу в данной части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в обжалуемой части и разрешая спор, апелляционный суд руководствовался статьями 9, 61.11, 183.16 Федерального закона от 26.10.2002 № 127-ФЗ «О несостоятельности (банкротстве)» и указал на отсутствие совокупности условий для наступления субсидиарной ответственности Миллермана А.С., в том числе, недоказанности вины последнего в создании сложившейся у должника критической ситуации.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«Страховое акционерное общество «ГЕФЕСТ» Ткаченко Ирине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