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12.04.2019, оставленным без изменения постановлениями Первого арбитражного апелляционного суда от 08.07.2019 и Арбитражного суда Волго-Вятского округа от 08.11.2019, в удовлетворении заявленного требования отказано.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организации на действия общества, выразившиеся в распространении ложных сведений в письмах, направленных в адрес органов государственной власти, органов местного самоуправления и бюджетных организаций, антимонопольным органом в действиях общества установлены признаки нарушения статьи 14.1 Федерального закона от 26.07.2006 № 135-ФЗ «О защите конкуренции» (далее – Закон о защите конкуренции), выдано предупреждение от 28.02.2018 № 03-29/03-2018 о прекращении действий (бездействия), которые содержали признаки нарушения антимонопольного законодательства. В связи с неисполнением предупреждения управлением возбуждено дело о нарушении антимонопольного законодательства в отношении общества по признакам нарушения статьи 14.1 Закона о защите конкуренции, по результатам рассмотрения принято оспоренное решение. Решением управления в действиях общества признан факт нарушения статьи 14.1 Закона о защите конкуренции, выразившийся в распространении ложных, неточных сведений о деятельности хозяйствующих субъектов на рынке по проведению работ по техническому обслуживанию средств обеспечения пожарной безопасности зданий и сооружений. Исследовав и оценив представленные в материалы дела доказательства по правилам главы 7 Арбитражного процессуального кодекса Российской Федерации и руководствуясь положениями пункта 9 статьи 4, статьи 14.1, части 8 статьи 39.1 Закона о защите конкуренции, Федерального закона от 04.05.2011 № 99-ФЗ «О лицензировании отдельных видов деятельности», суды пришли к выводу о законности ненормативного акта антимонопольного органа. При этом судебные инстанции исходили из того, что направление писем со спорным содержанием свидетельствует о недобросовестном поведении участника рынка – общества, распространении ложных, неточных, искаженных сведений. Суды указали, что многочисленная рассылка писем органам государственной власти и местного самоуправления, в бюджетные организации являлась распространением негативной информации и могла нанести вред деловой репутации конкретным хозяйствующим субъектам, которыми осуществляется техническое обслуживание ПАК «Стрелец-Мониторинг». Таким образом, суды пришли к выводу о квалификации действий распространителя писем как нарушающие запреты, установленные в статье 14.1 Закона о защите конкуренции. Обстоятельства данного спора и представленные доказательства были предметом рассмотрения и оценки судов. Доводы, изложенные в кассационной жалобе, являлись предметом рассмотрения судов и получили надлежащую правовую оценку,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общества по существу спора,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«Служба пожарного мониторинга»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Служба пожарного мониторинга (подробнее) Ответчики: УФАС по РМЭ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