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20.03.2019, оставленным без изменения постановлением Четвертого арбитражного апелляционного суда от 14.06.2019 и постановлением Арбитражного суда Восточно-Сибирского округа от 07.10.2019, первоначальный иск удовлетворен частично, с общества в пользу учреждения взыскано 2 764 302 руб. 38 коп. пеней, в удовлетворении остальной части первоначального иска и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права, просит изменить указанные судебные акты и удовлетворить первоначальный иск в части взыскания с общества 276 430 руб. 24 коп. пеней, а встречный иск – в части взыскания штрафа.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 310 , 329 , 330 Гражданского кодекса Российской Федерации,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установив факт нарушения обществом срока исполнения обязательств по контракту, признали обоснованным начисление учреждением пеней на основании пункта 8.1 контракта и, принимая во внимание принцип соразмерности ответственности последствиям нарушения обязательства, по ходатайству общества снизили размер пеней на основании статьи 333 Гражданского кодекса Российской Федерации, в связи с чем удовлетворили первоначальный иск частично. Отказывая в удовлетворении встречного иска в части взыскания неустойки, суды исходили из того, что условиями контракта не предусмотрены сроки направления ответа на уведомления общества и не установлена ответственность за их нарушение. С указанными выводами впоследствии согласился суд округа.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«Мир»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Государственное казенное учреждение "Служба единого заказчика" Забайкальского края (подробнее) Ответчики: ООО "МиР"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