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Самарской области с иском к индивидуальному предпринимателю ФИО1 об обязании вернуть неосновательно приобретенное имущество – строительные материалы OSB 9,0*2500*1250 в количестве 88 штук по цене 800 рублей за штуку на сумму 70 400 рублей, а также расходы по оплате юридических услуг в сумме 12 000 рублей Решением Арбитражного суда Самарской области от 28.05.2019 иск удовлетворен. Постановлением Одиннадцатого арбитражного апелляционного суда от 07.08.2019 решение суда первой инстанции оставлено без изменения. Арбитражный суд Поволжского округа постановлением от 08.11.2019 указанные судебные акты оставил без изменения. Индивидуальный предприниматель Цуприк Алексей Анатольевич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1102 , 1103 , 1104 Гражданского кодекса Российской Федерации, суды пришли к выводу о наличии обязанности ответчика по возврату истцу неосновательно приобретенного или сбереженного имущества, исходя из доказанности факта поставки истцом строительных материалов и неисполнения ответчиком встречного обязательства по оплате поставленного товара.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