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01.04.2019, оставленным без изменения постановлением Шестого арбитражного апелляционного суда от 18.06.2019 и постановлением Арбитражного суда Дальневосточного округа от 10.10.2019, с учреждения в пользу управления взыскано 275 723 руб. неосновательного обогащения, 60 329 руб. 38 коп. пеней, 150 000 руб. штрафа, в удовлетворении остальной части исковых требований отказано. В кассационной жалобе, поданной в Верховный Суд Российской Федерации, учреждение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309 , 310 , 330 , 333 , 702 , 711 , 740 , 746 , 753 , 763 , 1102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факт выполнения учреждением работ по контракту не в полном объеме и просрочки исполнения им обязательства, суды первой и апелляционной инстанций пришли к выводу о наличии оснований для частичного удовлетворения исковых требований,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8 Управления Федеральной службы исполнения наказаний по Хабаровскому краю»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