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27.03.2019, оставленным без изменения постановлением Шестнадцатого арбитражного апелляционного суда от 26.06.2019, взыскано 762 340 рублей 70 копеек убытков, 6 000 рублей расходов на экспертизу и 15 000 рублей расходов на услуги представителя. Арбитражный суд Северо-Кавказского округа постановлением от 06.11.2019 решение от 27.03.2019 и постановление Шестнадцатого арбитражного апелляционного суда от 26.06.2019 оставил без изменения. В кассационной жалобе учреждение просит об отмене судебных актов как основанных на представленном истцом ненадлежащем заключении эксперта при лишении учреждения права на представление доказательств отклонением ходатайства о назначении экспертизы.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необходимые в силу статей 15 , 1064 Гражданского кодекса Российской Федерации условия для возложения на учреждение, осуществляющее управление объектами благоустройства на территории города Пятигорска, ответственности за причиненные убытки.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учреждению «Управление архитектуры, строительства и жилищно-коммунального хозяйства»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