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«Новый путь» (поставщик) обратилось в Арбитражный суд Брянской области с иском, уточненным в порядке статьи 49 Арбитражного процессуального кодекса Российской Федерации, о взыскании с открытого акционерного общества «Брянский молочный комбинат» (покупателя) 2 161 794 рублей 36 копеек долга. Решением Арбитражного суда Брянской области от 29.03.2019 иск удовлетворен. Постановлением Двадцатого арбитражного апелляционного суда от 09.07.2019 решение суда первой инстанции оставлено без изменения. Арбитражный суд Центрального округа постановлением от 17.10.2019 (с учетом определения об исправлении опечатки от 03.12.2019) указанные судебные акты оставил без изменения. Открытое акционерное общество «Брянский молочный комбинат»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экспертное заключение, в их совокупности и взаимной связи по правилам статей 71 , 86 Арбитражного процессуального кодекса Российской Федерации, учитывая определенный сторонами порядок установления цены продукции, признав доказанным факт поставки товара и отсутствие доказательств его оплаты, руководствуясь положениями статей 309 , 310 , 506 Гражданского кодекса Российской Федерации, суды пришли к выводу об обоснованности иска. С учетом установленных фактических обстоятельств доводы жалобы о несогласовании цены на товар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«Брянский молочный комбинат»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