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«Мособлгаз» (бенефициар) обратилось в Арбитражный суд Московской области с иском о взыскании с публичного акционерного общества «Восточный экспресс банк» (гаранта) 265 639 рублей 50 копеек по банковской гарантии от 30.12.2016 № 5633/2016/ДГБ, 13 547 рублей 61 копейки неустойки, начисленной до 09.04.2018, а также неустойки по день фактической оплаты долга из расчета 0,1% от суммы долга за каждый календарный день просрочки. Решением Арбитражного суда Московской области от 22.05.2018, оставленным без изменения постановлением Десятого арбитражного апелляционного суда от 20.07.2018, иск удовлетворен. Постановлением Арбитражного суда Московского округа от 09.11.2018 указанные судебные акты отменены и дело направлено на новое рассмотрение в Арбитражный суд Московской области. При новом рассмотрении дела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«ГвинГрейс» (принципал). Решением Арбитражного суда Московской области от 30.04.2019 иск удовлетворен. Постановлением Десятого арбитражного апелляционного суда от 10.07.2019 решение суда первой инстанции оставлено без изменения. Арбитражный суд Московского округа постановлением от 17.10.2019 указанные судебные акты отменил и в удовлетворении иска отказал. Акционерное общество «Мособлгаз»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Разрешая спор, окружной суд руководствовался положениями статей 368 , 370 , 374 , 376 Гражданского кодекса Российской Федерации и исходил из того, что требование бенефициара о выплате по банковской гарантии не соответствовало условиям банковской гарантии. Доводы, изложенные в кассационной жалобе, выводы окружного суда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«Мособлгаз»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"МОСОБЛГАЗ" (подробнее) ООО "ГвинГрейс" (подробнее) Ответчики: ПАО "Восточный экспресс банк"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