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указанной кассационной жалобой, одновременно заявив ходатайство о восстановлении срока ее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нем доводы, судья находит его подлежащим удовлетворению. Руководствуясь статьями 117 , 184 ,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«Производственная компания «Конструктив» удовлетворить. Срок подачи кассационной жалобы на определение Семнадцатого арбитражного апелляционного суда от 11.07.2019 и постановление Арбитражного суда Уральского округа от 03.09.2019 по делу № А60-74244/2018 Арбитражного суда Свердловской области восстановить. Судья Верховного Суда Российской Федерации Е.Н. Зарубина Суд: Верховный Суд РФ (подробнее) Истцы: ОАО "Каменск-Стальконструкция" (подробнее) Ответчики: ООО ПРОИЗВОДСТВЕННАЯ КОМПАНИЯ "КОНСТРУКТИВ" (подробнее) Судьи дела: Зарубина Е.Н. (судья) (подробнее) Последние документы по делу: Определение от 5 февраля 2020 г. по делу № А60-74244/2018 Определение от 25 декабря 2019 г. по делу № А60-74244/2018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