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08.07.2019, оставленным без изменения постановлением Одиннадцатого арбитражного апелляционного суда от 16.10.2019 и постановлением Арбитражного суда Поволжского округа от 19.12.2019,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предпринимателя по вопросам правильности начисления и уплаты всех налогов и сборов за период с 01.01.2014 по 31.12.2016. В ходе проверки установлено неотражение налогоплательщиком в составе доходов от предпринимательской деятельности денежных средств в размере 72 905 900 рублей, полученных от реализации недвижимого имущества (квартир). Данные обстоятельства послужили основанием для принятия налоговым органом решения о привлечении предпринимателя к ответственности за совершение налогового правонарушения с начислением 4 150 000 рублей налога, уплачиваемого в связи с применением упрощенной системы налогообложения, и 1 066 561 рубля 13 копеек пеней. Считая решение инспекции незаконным, предприниматель обратился с заявлением в арбитражный суд. Рассматривая спор, суды, оценив представленные в материалы дела доказательства, руководствуясь положениями статей 39 , 248 , 346.11 , 346.14 , 346.15 Налогового кодекса Российской Федерации, правовой позицией, изложенной в постановлении Конституционного Суда Российской Федерации от 17.12.1996 № 20-П и постановлении Президиума Высшего Арбитражного Суда Российской Федерации от 29.10.2013 № 6778/13, пришли к выводу о наличии у налогового органа правовых оснований для принятия оспоренного решения. Судебные инстанции отметили, что деятельность налогоплательщика по приобретению и последующей реализации квартир была направлена на извлечение прибыли при осуществлении им предпринимательской деятельности, в связи с чем доход, полученный от продажи данного недвижимого имущества, должен учитываться в составе доходов при исчислении единого налога, уплачиваемого в связи с применением упрощенной системы налогообложения. Доводы, изложенные в кассационной жалобе, повторяют позицию предпринимателя по спору, являлись предметом рассмотрения судов и получили надлежащую правовую оценку с учетом установленных по делу обстоятельств. Несогласие заявителя с выводами судов, иная оценка им фактических обстоятельств дела и иное применение к ним положений закона, не означает допущенной при рассмотрении дела судебной ошибки. При таких обстоятельствах,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