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24.04.2019 первоначальный иск удовлетворен, в удовлетворении встречного иска отказано. Постановлением Девятого арбитражного апелляционного суда от 10.07.2019, оставленным без изменения постановлением Арбитражного суда Московского округа от 07.11.2019, решение от 24.04.2019 изменено: в удовлетворении первоначального иска в части взыскания 3 296 777 рублей 55 копеек отказано, встречный иск удовлетворен. В кассационной жалобе общество «Юна» просит об отмене судебных актов апелляционного и окружного судов как основанных на необъективной оценке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08.11.2017 № 8-11-2017, суды признали установленную дополнительным соглашением № 1 от 30.11.2017 обязанность общества «Юна» принять возвращенный обществом «Джи Ди Пи» нереализованный товар в любой период времени, в связи с чем удовлетворили встречный иск в полном объеме в соответствии со статьями 421 , 431 , 516 Гражданского кодекса Российской Федерации. Иная оценка заявителем содержания договора и результата его исполнения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