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19.04.2019, оставленным без изменения постановлением Шестого арбитражного апелляционного суда от 01.07.2019 и постановлением Арбитражного суда Дальневосточного округа от 07.10.2019, иск удовлетворен частично. В кассационной жалобе центр просит отменить судебные акты вследствие неправомерного исчисления штрафа от общей цены контракта.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государственного контракта от 15.07.2018 № 59, суды установили нарушение центром обязательств, за которое предусмотрен штраф, поэтому удовлетворили иск в соответствии с условиями контракта и статьями 330 , 333 Гражданского кодекса Российской Федерации. Приведенные в рассматриваемой жалобе доводы получили правильную оценку нижестоящих судов и не составляют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«Хабаровский авиационно-спасательный центр МЧС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