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19.06.2019 в удовлетворении иска отказано. Одиннадцатый арбитражный апелляционный суд постановлением от 30.08.2019 отменил решение от 19.06.2019 и удовлетворил иск. Арбитражный суд Поволжского округа постановлением от 29.10.2019 отменил постановление Одиннадцатого арбитражного апелляционного суда от 30.08.2019 и оставил в силе решение от 19.06.2019. В кассационной жалобе предприятие просит об отмене решения и постановления окружного суда, ссылаясь на неправомерность удержания вознаграждения в период, в который гарантия не действовала.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Спорная сумма уплачена предприятием на основании соглашения о выдаче банковской гарантии от 29.06.2018 № 46/18-БГ-МБ, поэтому не обладает признаками неосновательного обогащения. Суды установили непричастность банка к обстоятельствам, повлекшим прекращение гарантии, следовательно, он не отвечает за расходы предприятия на оплату гарантии и по правилам статей 15 , 393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«Дорожное эксплуатационное предприятие № 132»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"Дорожное эксплуатационное предприятие №132", г. Москва (подробнее) Ответчики: ОАО "Коммунальные сети Черемшанского района", Черемшанский р-н (подробнее) ООО КБЭР "Банк Казани"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