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после отмены ранее состоявшихся судебных актов решением Арбитражного суда Архангельской области от 23.03.2019, оставленным без изменения постановлением Четырнадцатого арбитражного апелляционного суда от 11.06.2019 и постановлением Арбитражного суда Северо-Западного округа от 09.10.2019, иск удовлетворен. В кассационной жалобе предприниматель просит о пересмотре указанных судебных актов как не соответствующих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между сторонами действует договор от 27.02.2012 № МЧ-5/12, при исполнении которого произошла задержка вагонов на путях общего пользования по причине, зависящей от предпринимателя (заказчика), поэтому возложили на него обязанность внесения платы в соответствии со статьей 785 Гражданского кодекса Российской Федерации, статьей 39 Федерального закона от 10.01.2003 № 18-ФЗ «Устав железнодорожного транспорта Российской Федерации». Доводы жалобы опровергаются установленными судами обстоятельствами.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