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27.02.2019 иск удовлетворен. Семнадцатый арбитражный апелляционный суд постановлением от 21.06.2019 отменил решение от 27.02.2019 и отказал в удовлетворении иска вследствие утраты груза при обстоятельствах, не попадающих под страховой случай. Арбитражный суд Уральского округа постановлением от 03.10.2019 постановление Семнадцатого арбитражного апелляционного суда от 21.06.2019 оставил без изменения. В кассационной жалобе общество «Перспектива» просит об отмене судебных актов апелляционного и окружного судов как незаконных, ссылаясь на необоснованное непризнание утраты груза при перевозке.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Согласно статье 929 Гражданского кодекса Российской Федерации страховщик возмещает убытки в застрахованном имуществе, причиненные вследствие предусмотренного в договоре события. Таким образом, убытки должны состоять в причинно-следственной связи со страховым случаем. Суды установили, что заявленные убытки возникли в связи с действиями общества «Перспектива», заключившего договор поставки с неустановленным лицом и передавшим груз для доставки указанному лицу. В связи с установленной непричастностью общества «Деловые линии» (перевозчика) к утрате груза заявленные убытки не признаны страховым случаем в рамках договора страхования, заключенного перевозчиком с ответчиком, а общество «Перспектива» – лицом, имеющим право на их возмещение за счет страхования, в соответствии с законом и условиями страхования.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«Перспектива»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