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15.02.2019, оставленным без изменения постановлением Девятого арбитражного апелляционного суда от 18.07.2019 и постановлением Арбитражного суда Московского округа от 29.10.2019,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послужили выводы налогового органа о занижении обществом налоговой базы в связи с неправомерным включением в состав расходов по налогу на прибыль затрат по агентскому договору, заключенному с иностранной организацией, в виде возмещения расходов по оплате труда сотрудников (работающих как на основании трудовых договоров, так и на основании гражданско-правовых договоров). Оценив представленные в материалы дела доказательства, суды, руководствуясь положениями статей 975 , 1001 , 1005 , 1006 , 1011 Гражданского кодекса Российской Федерации, статей 39 , 146 , 153 , 156 , 162 , 251 , 255 Налогового кодекса Российской Федерации, статьи 22 Трудового кодекса Российской Федерации, пришли к выводу о наличии у инспекции правовых оснований для принятия решения. Судебные инстанции исходили из того, что затраты общества на оплату труда работников и лиц, привлеченных по договорам гражданско-правового характера, а также сопутствующие им расходы, связанные с уплатой страховых взносов во внебюджетные фонды, являются собственными расходами заявителя и не могут быть перенесены на иное лицо. При этом денежные средства (компенсация), поступающие от иностранной организации (принципала), являются доходом общества от агентской деятельности, следовательно, подлежат включению в состав доходов и являются объектом обложения налогом на добавленную стоимость. При этом суды установили, что спорные контрагенты не являются реальными участниками предпринимательских отношений, не могли выполнить предусмотренные договорами работы, поскольку не осуществляют финансово-хозяйственной деятельности и не располагают необходимыми материально-техническими и трудовыми ресурсами. Кроме того, в нарушение условий договоров, заключенных с заказчиками, общество не извещало их о привлечении субподрядных организаций для выполнения работ. Доводы, изложенные в кассационной жалобе, не опровергают выводы судов, являлись предметом их рассмотрения,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установленными судами фактическими обстоятельствами и направлены на переоценку представленных в материалы дела доказательств, что в силу статьи 291.6 Арбитражного процессуального кодекса Российской Федерации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«ЭббВи»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