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«Мегаполис-Строй» обратилось в Арбитражный суд Воронежской области с иском о взыскании с публичного акционерного общества Банк ВТБ 5 463 139 рублей 44 копеек убытков в виде незаконной невыплаты присужденной суммы со счета должника. Решением Арбитражного суда Воронежской области от 26.03.2019 в удовлетворении иска отказано. Постановлением Девятнадцатого арбитражного апелляционного суда от 03.07.2019 решение суда первой инстанции оставлено без изменения. Арбитражный суд Центрального округа постановлением от 17.10.2019 указанные судебные акты оставил без изменения. Общество с ограниченной ответственностью специализированный застройщик «Мегаполис-Строй»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Гражданского кодекса Российской Федерации, статьей 70 Федерального закона от 02.10.2007 № 229-ФЗ «Об исполнительном производстве», суды пришли к выводу о недоказанности наличия совокупности обстоятельств, необходимых для привлечения банка к ответственности в виде возмещения убытков, учитывая, что действия банка по принятию к исполнению постановления о наложении ареста на денежные средства должника и помещении его в очередь неисполненных операций являются обоснованными, вызванными объективными причинами блокировки операций по счету налоговым органом. Изложенные в кассационной жалобе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специализированный застройщик «Мегаполис-Строй»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