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17.05.2019, оставленным без изменения постановлением Пятого арбитражного апелляционного суда от 18.07.2019, иск удовлетворен. Арбитражный суд Дальневосточного округа постановлением от 22.10.2019 решение от 17.05.2019 и постановление Пятого арбитражного апелляционного суда от 18.07.2019 оставил без изменения. В кассационной жалобе общество просит об отмене судебных актов как основанных на ненадлежащих доказательствах.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 оводами жалобы не усматривается. Согласно статье 44 Устава железнодорожного транспорта после выгрузки грузов, грузобагажа вагоны, контейнеры в соответствии с правилами перевозок грузов железнодорожным транспортом должны быть очищены внутри и снаружи грузополучателем или перевозчиком – в зависимости от того, кем обеспечивалась выгрузка. Судами установлено, что поступившие в период с ноября 2016 года по апрель 2017 года в адрес грузополучателя (общества) вагоны-цистерны после выгрузки им не очищены, вследствие чего были отправлены истцом на вынужденную пропарку. Учитывая, что несение истцом расходов на очистку вагонов-цистерн от загрязнения и их размер подтверждены, суды правомерно признали их подлежащими возмещению в силу статей 15 , 1064 Гражданского кодекса Российской Федерации. Довод о том, что акты общей формы являются ненадлежащими доказательствами, правильно оценен окружным судом и не составляет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«Восточный Нефтехимический Терминал»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