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корпорация обратилась в суд с заявлением о включении в реестр требований кредиторов должника 58 996 667 рублей, из которых 19 061 928 рублей основного долга и 39 934 739 рублей неустойки, начисленной за период по дату введения наблюдения. Определением Арбитражного суда города Санкт-Петербурга и Ленинградской области от 03.06.2019, оставленным без изменения постановлениями Тринадцатого арбитражного апелляционного суда от 22.07.2019 и Арбитражного суда Северо-Западного округа от 02.12.2019, требования корпорации в заявленном размере признаны подлежащими удовлетворению за счёт имущества должника, оставшегося после удовлетворения реестровых требований кредиторов.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 включении его требований в третью очередь реестра.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 руководствовались положениями статьей 16, 71, 100, 142 Федерального закона от 26.10.2002 № 127-ФЗ «О несостоятельности (банкротстве)», абзаца второго пункта 3 информационного письма Президиума Высшего Арбитражного Суда Российской Федерации от 26.07.2005 № 93 «О некоторых вопросах, связанных с исчислением отдельных сроков по делам о банкротстве», и исходили из того, что требования корпорации заявлены после закрытия реестра, а доказательств своевременного обращения в арбитражный суд с соответствующим заявлением не представлено.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 Производственная Нано Технологическая Индустриальная Корпорация О.С.М.»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