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предприниматель обратился в суд с заявлением о включении в реестр требований кредиторов должника его требования в размере 54 017 020 рублей основного долга, 5 477 600 рублей 06 копеек процентов за пользование займом, 1 151 968 рублей 04 копеек процентов за просрочку возврата займа. Определением Арбитражного суда города Москвы от 24.10.2018, оставленным без изменения постановлениями Девятого арбитражного апелляционного суда от 30.01.2019 и Арбитражного суда Московского округа от 18.07.2019, требование признано необоснованным; во включении его в реестр отказано. Впоследствии предприниматель обратился в суд с заявлением о пересмотре определения суда первой инстанции от 24.10.2018 по вновь открывшимся обстоятельствам. Определением Арбитражного суда города Москвы от 15.07.2019, оставленным без изменения постановлениями Девятого арбитражного апелляционного суда от 22.08.2019 и Арбитражного суда Московского округа от 17.10.2019, заявление возвращено. 2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о пересмотре судебного акта по вновь открывшимся обстоятельствам, суд первой инстанции, руководствуясь положениями статьей 310, 312, 313 и 315 Арбитражного процессуального кодекса Российской Федерации, позицией, изложенной в пункте 19 постановления Пленума Высшего Арбитражного Суда Российской Федерации от 30.06.2011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пропуска срока подачи заявления, указав на отсутствие ходатайства о его восстановлении. Суды апелляционной инстанции и округа поддержали данные выводы.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Ляпунову Роману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