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(далее – уполномоченный орган) обратилась в суд с заявлением о признании недействительной сделкой договора купли-продажи недвижимости и земельных участков от 14.04.2014, заключенного между обществом и должником; применении последствий недействительности сделки. Определением Арбитражного суда Вологодской области от 11.04.2019, оставленным без изменения постановлением Четырнадцатого арбитражного апелляционного суда от 01.08.2019, в удовлетворении заявления отказано. Постановлением Арбитражного суда Северо-Западного округа от 11.10.2019 вышеуказанные судебные акты отменены, дело направлено на новое рассмотрение в Арбитражный суд Вологодской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пунктом 2 статьи 61.2 Федерального закона от 26.10.2002 № 127-ФЗ «О несостоятельности (банкротстве)», разъяснениями, приведенными в пункте 13 Обзора практики Верховного Суда Российской Федерации № 4 (2017), утверждённого Президиумом Верховного Суда Российской Федерации 15.11.2017, исходил из того, что они приняты без полного исследования всех доказательств и фактических обстоятельств, имеющих существенное значение для правильного разрешения спора, в том числе вне проверки доводов уполномоченного органа о создании контролирующим должника лицом схемы по выводу единственного актива с целью причинения вреда кредиторам.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«Дмикор»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